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2011/50 vom 2. Mai 2011</w:t>
      </w:r>
    </w:p>
    <w:p>
      <w:r>
        <w:t>Bundesverwaltungsgericht, 2011-05-02, FR</w:t>
      </w:r>
    </w:p>
    <w:p>
      <w:r>
        <w:rPr>
          <w:b/>
        </w:rPr>
        <w:t xml:space="preserve">Quelle: </w:t>
      </w:r>
      <w:r>
        <w:t>https://mcp.opencaselaw.ch/entscheid/bvger_BVGE 2011_50</w:t>
      </w:r>
    </w:p>
    <w:p>
      <w:r>
        <w:t>FR: TAF BVGE 2011/50 du 2 mai 2011</w:t>
      </w:r>
    </w:p>
    <w:p>
      <w:r>
        <w:t>IT: TAF BVGE 2011/50 del 2 maggio 2011</w:t>
      </w:r>
    </w:p>
    <w:p>
      <w:pPr>
        <w:pStyle w:val="Heading2"/>
      </w:pPr>
      <w:r>
        <w:t>Regeste</w:t>
      </w:r>
    </w:p>
    <w:p>
      <w:r>
        <w:t>Asile et renvoi</w:t>
      </w:r>
    </w:p>
    <w:p>
      <w:pPr>
        <w:pStyle w:val="Heading2"/>
      </w:pPr>
      <w:r>
        <w:t>Erwägungen</w:t>
      </w:r>
    </w:p>
    <w:p>
      <w:r>
        <w:rPr>
          <w:b/>
        </w:rPr>
        <w:t>E. 5</w:t>
      </w:r>
    </w:p>
    <w:p>
      <w:r>
        <w:t>7.4 (...) 8.1 Selon l'art. 83 al. 4 de la loi fédérale du 16 décembre 2005 sur les étrangers (LEtr,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8.2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(voir notamment à ce propos ATAF 2007/10 consid. 5.1 p. 111; JICRA 2005 no 24 consid. 10.1 p. 215 et jurisprudence cit., JICRA 2003 no 24 consid. 5 p. 157 s.). Ceci étant, il convient, dans le cadre de l'analyse des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la jurisprudence rendue à propos de l'ancien art. 14a al. 4 de la loi fédérale du 26 mars 1931 sur le séjour et l'éta­blis­sement des étrangers [LSEE, RO 49 279], qu'il n'y a pas lieu de remettre en question: JICRA 2005 no 24 consid. 10.1 p. 215 et juris­pru­dence cit., JICRA 2003 no 24 consid. 5 p. 157 ss). 8.3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(cf. JICRA 2003 no 24 consid. 5b p. 157 s.; Gabrielle Steffen, Droit aux soins et rationnement. Appro­che d'une définition des soins nécessaires,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no 24 consid. 5b p. 157 s., JICRA 1993 no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consid. 9.3.2 p. 21; cf. également JICRA 2003 no 24 consid. 5b p. 157 s.).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no 24 consid. 5b p. 157 s.). 8.4 En l'espèce, s'agissant de la situation générale régnant actuelle­ment au Kosovo, il est notoire que ce pays, dont l'indépendance a été reconnue par la Suisse le 27 février 2008, ne connaît pas une situation de guerre, de guerre civile ou de violence généralisée sur l'ensemble de son territoire, laquelle permettrait d'emblée - et indépendamment des cir­constances du cas d'espèce - de présumer, à propos de tous les ressor­tissants du pays, l'existence d'une mise en danger concrète au sens de l'art. 83 al. 4 LEtr. 8.5 Il sied donc d'examiner si, en raison d'éléments liés à la per­son­ne des recourants, l'exécution du renvoi impliquerait une mise en danger concrète de ceux-ci. 8.6 Les recourants appartiennent à l'une des communautés mino­ri­taires de musulmans slaves du Kosovo, à savoir les Goranis. De manière générale, les minorités de musulmans slaves, dont font également partie les Bosniaques et les Torbes, ont toujours été traitées avec plus de tolé­rance que les minorités rom, ashkali et égyptienne ou que les Serbes du Kosovo. Selon la jurisprudence du Tribunal administratif fédéral, repre­nant celle de la CRA, l'exécution du renvoi des ressortissants roms, ashkalis et égyptiens est en règle générale et à des conditions déterminées raisonnablement exigible (ATAF 2007/10 p. 110 ss; JICRA 2006 no 10 p. 104 ss). L'exécution du renvoi des musulmans slaves du Kosovo, en particulier des Goranis, est quant à elle en principe raisonnablement exi­gible, lorsque ceux-ci ont eu leur dernier domicile dans les circons­crip­tions de Dragash, Prizren, Gjakove et Pej avant leur départ du pays (JICRA 2002 no 22 p. 177 ss; arrêts du Tribunal administratif fédéral D 4166/2006 du 15 février 2010 consid. 8.4 p. 11, D 3685/2009 du 20 août 2009 p. 7 et 8, et D 6556/2006 du 25 août 2008 consid. 4.4 p. 7). Cette jurisprudence est toujours d'actualité, la situation des musulmans serbophones s'étant même améliorée après la publication de la JICRA 2002 no 22, au point que l'exécution du renvoi est désormais raison­nable­ment exigible sur tout le territoire du Kosovo, à l'exception de la région de Mitrovica, moyennant un examen individuel d'éléments déterminés tels que l'existence d'une formation professionnelle, la présence d'un réseau social, d'une structure d'aide, d'un éventuel risque de représailles en cas de collaboration passée avec les Serbes (arrêts du Tribunal admi­nis­tratif fédéral D 3685/2009 du 20 août 2009 p. 7 et 8, et D 6556/2006 du 25 août 2008 consid. 4.4 p. 7). 8.7 In casu, les recourants viennent de la région de F., où ils ont tou­jours vécu, exception faite de leurs divers séjours dans des pays tiers où ils ont résidé comme requérants d'asile. Selon les informations dont dis­pose le Tribunal administratif fédéral (cf. notamment Kosovo Com­mu­ni­ties profiles, Organization for Security and Cooperation in Europe [OSCE], Mission in Kosovo Gorani, 02/2011), la municipalité de F. est consti­tuée d'une majorité d'Albanais, avec une très forte minorité de Goranis. Du reste, les habitants du village où vivaient les intéressés s'ex­priment en langue gorani (...). Les membres de la communauté gorani dans la ré­gion ne connaissent pas de problèmes particuliers pour se déplacer, s'ex­primer dans leur langue auprès de l'administration, ou encore pour avoir accès aux services publics, aux soins médicaux, à l'éducation, à l'aide sociale et à la propriété. Concernant la ville de F. plus particuliè­rement, les Goranis de retour au pays peuvent bénéficier d'une aide à la recons­truction d'habitations, de l'aide sociale et d'une aide ali­mentaire. Ces aides sont notamment fournies par des organisations inter­nationales, comme le Programme des Nations Unies pour le dévelop­pe­ment et le Haut Commissariat des Nations Unies pour les réfugiés. Les recourants disposent en outre au pays d'un solide réseau familial et social, les parents respectifs de A. et de B., ainsi que les frères et soeurs de celle-ci, y demeurant notamment. Sur le plan financier, ils n'ont jamais fait valoir de problèmes particuliers. Leurs conditions de vie étaient au contraire plutôt bonnes. Ils disposent en effet sur place d'un logement au sein de la maison familiale (...) et A. a travaillé comme peintre en bâti­ment, puis conducteur de taxi, avant le départ du pays. 8.8 Pour s'opposer à l'exécution de leur renvoi, les intéressés invo­quent encore des motifs de santé, produisant à ce titre plusieurs rapports ou documents à caractère médical. 8.8.1 Concernant l'état de santé de B., un rapport médical établi par le Dr R., daté du 15 septembre 2010, a été déposé au stade du recours. Atteinte de troubles anxieux, d'un état de stress post-traumatique et de lésions cervicales, elle se plaint de nombreux troubles, à savoir des douleurs cervicales et thoraciques, des brûlures gastriques, des céphalées chroniques, des malaises aves sensation de chute, nausées, palpitations et voiles noirs, causant parfois des chutes, de la nervosité excessive et des troubles du sommeil. Selon le rapport en question, ces troubles seraient dus aux divers événements traumatisants vécus au Kosovo au cours de son existence et seraient apparus après sa blessure consécutive à l'ex­plosion d'une bombe, événement situé en 1999 selon les déclarations de l'intéressée. Mis à part les problèmes susmentionnés, son état général est jugé bon et sans autres affections particulières, ce qui est corroboré par les autres rapports médicaux produits qui concernent la recourante, à savoir le rapport du 27 janvier 2010 relatif à une IRM cervicale, celui du 30 décembre 2009 concernant l'examen de ses poumons, et celui du 1er décembre 2009 relatif à son rachis cervical, qui ne mentionnent pas de problèmes susceptibles d'être décisifs dans le cadre de l'examen de l'exigibilité du renvoi. Bien que le rapport n'indique aucun traitement particulier qui serait suivi par l'intéressée, un retour forcé au Kosovo est considéré comme un ris­que majeur pour sa santé, son état pouvant évoluer vers la chronicité en l'absence d'un traitement adéquat. Selon les rapports médicaux des 22 et 27 septembre 2010, dont les constatations à caractère médical sont identiques, A. est pour sa part atteint d'un état de stress post-traumatique sévère (hyper vigilance), souf­frant de nervosité excessive et de troubles du sommeil. Il se dit angoissé par l'état de santé de son épouse et obnubilé par les souvenirs de guerre et les exactions subies dans son pays depuis la fin des combats. Aux termes du rapport complémentaire du 12 novembre 2010, le recou­rant souffre de troubles anxieux sévères et d'une gastrite de stress, en sus de l'état de stress post-traumatique déjà diagnostiqué précédem­ment. Il se plaint à ce titre de douleurs abdominales et de troubles du transit, ainsi que de moments d'absence et de flashbacks avec accès d'angoisse. Pour le reste, son état général est jugé bon. Le traitement actuel de l'intéressé consiste en un soutien psychologique, ainsi qu'en la prise d'un neuroleptique anxiolytique. D'après le rapport, en l'absence d'un traitement adéquat, l'état de stress post-traumatique peut évoluer vers la chronicité, le pronostic étant par contre très favorable dans un contexte stable. Un retour forcé vers le Kosovo présenterait par ailleurs un risque majeur pour sa santé. En ce qui concerne l'enfant D., celui-ci souffre selon l'attestation médi­cale du 14 septembre 2010 de crises d'asthme jugées relativement sé­vères. Ces crises ont nécessité plusieurs hospitalisations, parfois au sein des services d'urgence pédiatrique. L'enfant suit un traitement de fond qui s'avère efficace. Au vu de son état, un suivi médical régulier est conseillé, dans le but notamment d'adapter le traitement à sa croissance, et la possibilité de consulter rapidement un centre médical spécialisé en pé­diatrie lors de crises est jugée nécessaire. D'autre part, D. est atteint d'une petite malformation au niveau uro-génital, pour laquelle une intervention chirurgicale mineure est envisagée. Quant à l'enfant C., elle a également déjà souffert de crises d'asthme par le passé. Son état s'est cependant amélioré et elle ne reçoit en ce moment pas de traitement de fond. Selon l'attestation médicale, la résurgence des crises n'est pas à exclure. 8.8.2 Le système de santé publique du Kosovo est toujours en phase de reconstruction depuis la fin de la guerre. Selon les informations à disposition du Tribunal administratif fédéral (cf. notamment Organisation suisse d'aide aux réfugiés [OSAR], Kosovo: Etat des soins de santé [mise à jour], Berne, 1er septembre 2010), le pays n'a pas à l'heure actuelle de système d'assurance-maladie publique, de sorte que seuls des contrats privés peuvent assurer l'accès à l'ensemble des prestations hospitalières et ambulatoires. Cela étant, les services de santé sont théoriquement fournis gratuitement par les institutions de santé publique à certains groupes spécifiques, comme par exemple les enfants jusqu'à 15 ans, les élèves et étudiants jusqu'à la fin de leur formation de base, ou encore les béné­fi­ciaires de l'assistance sociale et leur famille proche. Dans les faits, en raison des contraintes financières et matérielles ne permettant pas tou­jours de faire face à la demande, les patients concernés sont toutefois parfois amenés à payer une partie des frais générés, voire leur intégralité. Le système kosovar des soins de santé comprend trois niveaux, à savoir les niveaux primaire (centres médicaux situés dans chaque municipalité), secondaire (hôpitaux au niveau régional) et tertiaire (Centre Clinique Universitaire et institutions spécialisées à Pristina). De manière générale, les Kosovars peuvent se faire soigner dans des cabinets et cliniques publics et privés, les prix étant plus élevés dans le secteur privé. Les pharmacies sont elles aussi publiques ou privées. L'Agence des Médica­ments du Kosovo, en charge des activités liées aux produits médicinaux et appareils médicaux, a établi une liste de médicaments de base dis­tri­bués gratuitement dans les pharmacies. Celles-ci proposent essen­tiel­lement des médicaments utiles pour des maux communs, les phar­macies privées s'avérant mieux approvisionnées à cet égard. Une partie des mé­dicaments non disponibles peut par ailleurs être commandée à l'étranger, les prix et l'approvisionnement variant néanmoins fortement. La ville de F., d'où sont originaires les recourants, propose la gratuité des soins médicaux à certains groupes de personnes, comme les bénéficiaires de l'aide sociale. La ville dispose par ailleurs d'un centre médical sus­cep­tible d'intervenir en cas d'urgence médicale, par l'envoi d'une ambulance notamment (cf. à ce propos OSCE, op. cit., p. 11 s.). En ce qui concerne le système de santé mentale, sa réhabilitation est l'une des priorités du Ministère de la santé. Les besoins en la matière sont en effet importants, de nombreux Kosovars souffrant de troubles d'origine psychique, et les moyens pour y faire face étant encore insuffisants. A témoin, le pays manque de professionnels qualifiés, et le système actuel de formation est sous-développé, particulièrement en dehors de la capi­tale Pristina. Ainsi, en 2009, il n'y avait encore qu'un psychiatre pour 90'000 habitants, un employé du secteur de la santé mentale pour 40'000 habitants, cinq psychologues cliniciens et un faible nombre d'as­sistants sociaux. Dès lors, les moyens les plus utilisés pour faire face à la demande sont l'administration de médicaments et l'hospitalisation, lors­que le manque de lits ne s'y oppose pas. Cela étant, il existe au Kosovo sept centres de traitement ambulatoire pour les maladies psy­chiques (Centres Communautaires de Santé Mentale), dont un à Prizren. En outre, certains hôpitaux généraux disposent d'espaces réservés à la neuro­psychiatrie pour le traitement des cas de psychiatrie aiguë, ce qui est le cas également à Prizren. Finalement, grâce à la coopération interna­tio­nale, de nouvelles structures appelées « Maisons de l'intégration » ont vu le jour dans certaines villes, dont Prizren. Ces établissements logent des personnes atteintes de troubles mineurs de la santé mentale dans des appartements protégés et leur proposent un soutien thérapeutique et socio-psychologique (cf. OSAR, op. cit., p. 12 ss). Concernant l'accès aux soins médicaux, les membres des groupes mino­ritaires gorani et bosniaque ne connaissent pas de problèmes particuliers. Il arrive certes que le personnel albanais montre une certaine réticence à leur venir en aide, comme cela peut se produire avec d'autres minorités. Néanmoins, les améliorations dans ce domaine sont constantes (cf. OSAR, op. cit., p. 18). 8.8.3 En l'espèce, B. souffre essentiellement de troubles de nature psychique (état de stress post-traumatique et troubles anxieux), qui se manifestent notamment par des symptômes d'ordre psychosomatique. Ces maux ne paraissent cependant nécessiter qu'un traitement ambula­toire, l'intéressée n'ayant pas subi d'hospitalisation. A ce titre, le Tribunal administratif fédéral constate que cette dernière n'a pas indiqué suivre un traitement particulier pour soigner ses problèmes de santé. La question de l'existence et de la nature d'un tel traitement peut toutefois rester in­décise. Au vu des informations précitées sur l'état des soins de santé au Kosovo, les médicaments et autres soins de base sont en effet disponibles dans ce pays, également pour les membres de la minorité gorani, à la­quelle appartient l'intéressée. Force est de constater que la ville de Prizren, située quelques kilomètres au (...) de F., dispose de plusieurs établissements proposant des soins en matière de santé mentale. Au demeurant, cette appréciation est confirmée par l'expérience personnelle de l'intéressée. En effet, comme cela a déjà été souligné dans le présent arrêt (cf. consid. 4.5), la recourante a régulièrement pu avoir accès à des soins médicaux dans son pays au cours de ces dernières années. Que ce soit à l'occasion de sa blessure due à des éclats d'obus en 1999, de son accouchement difficile en 2004, de son opération d'un abcès au sein en 2008, ou de sa fausse couche en 2009, elle a toujours été prise en charge en milieu hospitalier et a bénéficié de traitements adéquats la conduisant à la guérison. Concernant plus spécifiquement ses troubles psychiques, elle a déclaré avoir suivi un traitement médicamenteux, énumérant toute une série de médicaments qui lui ont été administrés (...). Elle a par ail­leurs concédé avoir eu accès à un médecin gorani (...). Même si les soins qui y sont prodigués ne correspondent pas néces­sai­re­ment aux standards suisses, il est ainsi manifeste que la recourante a eu accès au Kosovo à tous les soins et traitements essentiels rendus néces­saires par son état de santé durant les dix dernières années, qu'elle ait dû les financer elle-même ou non. Aucun élément du dossier ne permet de considérer que tel ne serait plus le cas en cas de retour dans son pays, le risque d'une dégradation de son état de santé, causant une atteinte durable et sérieuse à son intégrité psychique et physique, étant aussi à exclure. Quant au risque d'aggravation de son état souligné par son médecin en cas de renvoi, il pourra en tout état de cause être atténué, voire évité, par une préparation au retour adéquate de la part de son thérapeute et, le cas échéant, une aide médicale au retour. S'il est compréhensible que la perspective de devoir renoncer à mener une existence en Suisse puisse exacerber un sentiment d'anxiété chez l'intéressée, ce motif n'est en soi pas suffisant pour renoncer à l'exécution du renvoi, au vu des consi­dé­rations qui précèdent. A. souffre quant à lui également d'un état de stress post-traumatique et de troubles anxieux sévères, son état nécessitant actuellement la prise d'un neuroleptique anxiolytique ainsi qu'un soutien psychologique. Au vu des éléments relevés ci-dessus au sujet de son épouse, notamment de l'accès à des structures de soins et à des traitements efficaces dont celle-ci a bénéficié au Kosovo sur une longue période, et compte tenu des possi­bi­lités de soins en santé mentale dans ce pays, plus particulièrement à Prizren, force est de constater que le recourant pourra également béné­ficier d'un traitement adéquat en cas de retour dans son pays. Au de­meurant, le Tribunal administratif fédéral constate que ses problèmes de santé ne l'empêchent pas de travailler en ce moment, de sorte qu'un retour au Kosovo, avec une aide médicale au retour si nécessaire, ne devrait pas causer de détérioration particulière de son état de santé. Les motifs de santé invoqués par l'intéressé ne s'opposent donc pas à l'exé­cution de son renvoi. Quant à l'enfant D., celui-ci souffre de problèmes d'asthme. Il suit ac­tuel­lement un traitement de fond quotidien efficace, dont la nature n'a pas été précisée. Quoi qu'il en soit, son état s'est amélioré, de nouvelles crises ne pouvant toutefois être exclues à l'avenir. Là encore, au vu des considé­ra­tions qui précèdent, on ne saurait retenir qu'en cas de retour au Kosovo, D. ne pourrait pas bénéficier des soins médicaux essentiels. Par ailleurs, en cas d'urgence, la ville de F. dispose de plusieurs centres médicaux, dont l'un susceptible d'intervenir rapidement, et la ville proche de Prizren d'un hôpital. En ce qui concerne la malformation au niveau uro-génital de l'enfant, cette affection n'est de toute évidence pas d'une gravité suffi­sante pouvant faire obstacle au renvoi. Au demeurant, D. pourra, le cas échéant, subir une intervention chirurgicale, qualifiée de mineure par son médecin, au sein des structures de soins disponibles dans son pays. Pour finir, l'enfant C. ne souffre en ce moment plus d'asthme et ne suit aucun traitement à ce titre. En cas de résurgence de ses troubles, elle pourra elle aussi avoir accès à un traitement de base efficace dans son pays d'origine. 8.9 Au vu de tout ce qui précède, l'exécution du renvoi des recou­rants dans leur pays d'origine est raisonnablement exigible.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